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EDB" w:rsidRPr="00AC2EDB" w:rsidRDefault="00AC2EDB" w:rsidP="00AC2EDB">
      <w:pPr>
        <w:shd w:val="clear" w:color="auto" w:fill="FFFFFF" w:themeFill="background1"/>
        <w:spacing w:before="240" w:after="240" w:line="240" w:lineRule="atLeast"/>
        <w:outlineLvl w:val="0"/>
        <w:rPr>
          <w:rFonts w:eastAsia="Times New Roman" w:cs="Times New Roman"/>
          <w:b/>
          <w:bCs/>
          <w:kern w:val="36"/>
          <w:lang w:eastAsia="it-IT"/>
        </w:rPr>
      </w:pPr>
      <w:r w:rsidRPr="00AC2EDB">
        <w:rPr>
          <w:rFonts w:eastAsia="Times New Roman" w:cs="Times New Roman"/>
          <w:b/>
          <w:bCs/>
          <w:kern w:val="36"/>
          <w:lang w:eastAsia="it-IT"/>
        </w:rPr>
        <w:t>Accettazione eredità con beneficio d'inventario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Secondo l'articolo 490 del Codice Civile l'</w:t>
      </w:r>
      <w:r w:rsidRPr="00AC2EDB">
        <w:rPr>
          <w:rFonts w:eastAsia="Times New Roman" w:cs="Times New Roman"/>
          <w:b/>
          <w:bCs/>
          <w:lang w:eastAsia="it-IT"/>
        </w:rPr>
        <w:t>accettazione con beneficio d'inventario</w:t>
      </w:r>
      <w:r w:rsidRPr="00AC2EDB">
        <w:rPr>
          <w:rFonts w:eastAsia="Times New Roman" w:cs="Times New Roman"/>
          <w:lang w:eastAsia="it-IT"/>
        </w:rPr>
        <w:t> è un atto attraverso il quale una persona dichiara di accettare un'eredità ma di voler evitare che il suo patrimonio personale venga confuso con quello del defunto. 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Cos'è l'accettazione dell'eredità con beneficio d'inventario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shd w:val="clear" w:color="auto" w:fill="F5F5F5"/>
          <w:lang w:eastAsia="it-IT"/>
        </w:rPr>
      </w:pPr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>Di norma quando ci si trova ad ereditare</w:t>
      </w:r>
      <w:r w:rsidR="002A2CFF">
        <w:rPr>
          <w:rFonts w:eastAsia="Times New Roman" w:cs="Times New Roman"/>
          <w:shd w:val="clear" w:color="auto" w:fill="FFFFFF" w:themeFill="background1"/>
          <w:lang w:eastAsia="it-IT"/>
        </w:rPr>
        <w:t>,</w:t>
      </w:r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 xml:space="preserve"> il patrimonio dell'erede e quello del de </w:t>
      </w:r>
      <w:proofErr w:type="spellStart"/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>cuius</w:t>
      </w:r>
      <w:proofErr w:type="spellEnd"/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 xml:space="preserve"> diventano </w:t>
      </w:r>
      <w:r w:rsidRPr="002A2CFF">
        <w:rPr>
          <w:rFonts w:eastAsia="Times New Roman" w:cs="Times New Roman"/>
          <w:i/>
          <w:iCs/>
          <w:shd w:val="clear" w:color="auto" w:fill="FFFFFF" w:themeFill="background1"/>
          <w:lang w:eastAsia="it-IT"/>
        </w:rPr>
        <w:t>un unicum</w:t>
      </w:r>
      <w:r w:rsidR="002A2CFF">
        <w:rPr>
          <w:rFonts w:eastAsia="Times New Roman" w:cs="Times New Roman"/>
          <w:i/>
          <w:iCs/>
          <w:shd w:val="clear" w:color="auto" w:fill="FFFFFF" w:themeFill="background1"/>
          <w:lang w:eastAsia="it-IT"/>
        </w:rPr>
        <w:t>,</w:t>
      </w:r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> per cui all'erede passano non solo i beni mobili e immobili, ma anche i crediti e le obbligazioni, perciò chi entra in possesso dell'eredità deve onorare i debiti e quando questi siano ingenti può rivelarsi tutt'altro che conveniente. A tutela dell'erede è stata dunque stabilita la norma del beneficio d'inventario che gli </w:t>
      </w:r>
      <w:r w:rsidRPr="002A2CFF">
        <w:rPr>
          <w:rFonts w:eastAsia="Times New Roman" w:cs="Times New Roman"/>
          <w:b/>
          <w:bCs/>
          <w:shd w:val="clear" w:color="auto" w:fill="FFFFFF" w:themeFill="background1"/>
          <w:lang w:eastAsia="it-IT"/>
        </w:rPr>
        <w:t>permette di evitare di far fronte a parte dei debiti contratti dal defunto</w:t>
      </w:r>
      <w:r w:rsidRPr="002A2CFF">
        <w:rPr>
          <w:rFonts w:eastAsia="Times New Roman" w:cs="Times New Roman"/>
          <w:shd w:val="clear" w:color="auto" w:fill="FFFFFF" w:themeFill="background1"/>
          <w:lang w:eastAsia="it-IT"/>
        </w:rPr>
        <w:t> quando era in vita.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Accettazione eredità con beneficio d'inventario: quando è obbligatoria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La legge prevede che l'accettazione con beneficio d'inventario sia obbligatoria in alcuni casi particolari per tutelare soggetti giuridicamente più deboli previsti negli articoli 471, 472, 473 del </w:t>
      </w:r>
      <w:hyperlink r:id="rId5" w:history="1">
        <w:r w:rsidRPr="00AC2EDB">
          <w:rPr>
            <w:rFonts w:eastAsia="Times New Roman" w:cs="Times New Roman"/>
            <w:u w:val="single"/>
            <w:lang w:eastAsia="it-IT"/>
          </w:rPr>
          <w:t>Codice Civile</w:t>
        </w:r>
      </w:hyperlink>
      <w:r w:rsidRPr="00AC2EDB">
        <w:rPr>
          <w:rFonts w:eastAsia="Times New Roman" w:cs="Times New Roman"/>
          <w:lang w:eastAsia="it-IT"/>
        </w:rPr>
        <w:t>. Tali soggetti sono i minori e i minori emancipati, gli interdetti, gli inabilitati, le persone giuridiche, le fondazioni, le associazioni e anche gli enti non riconosciuti. Non sono invece obbligate al beneficio d'inventario le società commerciali.</w:t>
      </w:r>
      <w:r w:rsidRPr="00AC2EDB">
        <w:rPr>
          <w:rFonts w:eastAsia="Times New Roman" w:cs="Times New Roman"/>
          <w:lang w:eastAsia="it-IT"/>
        </w:rPr>
        <w:br/>
        <w:t>Il fatto che questo tipo di accettazione sia obbligatoria non significa però che essa sia automatica: occorre che un responsabile compia l'atto necessario affinché l'accettazione sia valida. Quindi per i minori e gli interdetti devono essere i genitori o i tutori a compiere l'atto, dopo aver ottenuto il consenso del giudice tutelare; gli inabilitati e i minori emancipati, che giuridicamente hanno una limitata capacità di agire, possono usufruire del beneficio d'inventario con il consenso dei curatori e del giudice tutelare.</w:t>
      </w:r>
      <w:r w:rsidRPr="00AC2EDB">
        <w:rPr>
          <w:rFonts w:eastAsia="Times New Roman" w:cs="Times New Roman"/>
          <w:lang w:eastAsia="it-IT"/>
        </w:rPr>
        <w:br/>
        <w:t>Per tutti gli altri soggetti tale tipo di accettazione è facoltativa.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Effetti dell'accettazione con beneficio d'inventario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L'accettazione con il beneficio d'inventario </w:t>
      </w:r>
      <w:r w:rsidRPr="00AC2EDB">
        <w:rPr>
          <w:rFonts w:eastAsia="Times New Roman" w:cs="Times New Roman"/>
          <w:b/>
          <w:bCs/>
          <w:lang w:eastAsia="it-IT"/>
        </w:rPr>
        <w:t>comporta che si ereditino tutti i crediti e i debiti del defunto</w:t>
      </w:r>
      <w:r w:rsidRPr="00AC2EDB">
        <w:rPr>
          <w:rFonts w:eastAsia="Times New Roman" w:cs="Times New Roman"/>
          <w:lang w:eastAsia="it-IT"/>
        </w:rPr>
        <w:t> e che si possa riscuotere tutti i crediti, tuttavia </w:t>
      </w:r>
      <w:r w:rsidRPr="00AC2EDB">
        <w:rPr>
          <w:rFonts w:eastAsia="Times New Roman" w:cs="Times New Roman"/>
          <w:b/>
          <w:bCs/>
          <w:lang w:eastAsia="it-IT"/>
        </w:rPr>
        <w:t>non si è tenuti a pagare debiti o a soddisfare legati che vadano oltre il valore del patrimonio ricevuto</w:t>
      </w:r>
      <w:r w:rsidRPr="00AC2EDB">
        <w:rPr>
          <w:rFonts w:eastAsia="Times New Roman" w:cs="Times New Roman"/>
          <w:lang w:eastAsia="it-IT"/>
        </w:rPr>
        <w:t xml:space="preserve">. In questo modo si evita di ricevere un'eredità dannosa e i debiti vengono estinti solo con l'utilizzo del patrimonio del de </w:t>
      </w:r>
      <w:proofErr w:type="spellStart"/>
      <w:r w:rsidRPr="00AC2EDB">
        <w:rPr>
          <w:rFonts w:eastAsia="Times New Roman" w:cs="Times New Roman"/>
          <w:lang w:eastAsia="it-IT"/>
        </w:rPr>
        <w:t>cuius</w:t>
      </w:r>
      <w:proofErr w:type="spellEnd"/>
      <w:r w:rsidRPr="00AC2EDB">
        <w:rPr>
          <w:rFonts w:eastAsia="Times New Roman" w:cs="Times New Roman"/>
          <w:lang w:eastAsia="it-IT"/>
        </w:rPr>
        <w:t xml:space="preserve"> e non anche con quello dell'erede.</w:t>
      </w:r>
      <w:r w:rsidRPr="00AC2EDB">
        <w:rPr>
          <w:rFonts w:eastAsia="Times New Roman" w:cs="Times New Roman"/>
          <w:lang w:eastAsia="it-IT"/>
        </w:rPr>
        <w:br/>
        <w:t>Bisogna notare che coloro che vantavano crediti e legati ne</w:t>
      </w:r>
      <w:r w:rsidR="002A2CFF">
        <w:rPr>
          <w:rFonts w:eastAsia="Times New Roman" w:cs="Times New Roman"/>
          <w:lang w:eastAsia="it-IT"/>
        </w:rPr>
        <w:t>i</w:t>
      </w:r>
      <w:r w:rsidRPr="00AC2EDB">
        <w:rPr>
          <w:rFonts w:eastAsia="Times New Roman" w:cs="Times New Roman"/>
          <w:lang w:eastAsia="it-IT"/>
        </w:rPr>
        <w:t xml:space="preserve"> confront</w:t>
      </w:r>
      <w:r w:rsidR="002A2CFF">
        <w:rPr>
          <w:rFonts w:eastAsia="Times New Roman" w:cs="Times New Roman"/>
          <w:lang w:eastAsia="it-IT"/>
        </w:rPr>
        <w:t>i</w:t>
      </w:r>
      <w:r w:rsidRPr="00AC2EDB">
        <w:rPr>
          <w:rFonts w:eastAsia="Times New Roman" w:cs="Times New Roman"/>
          <w:lang w:eastAsia="it-IT"/>
        </w:rPr>
        <w:t xml:space="preserve"> del defunto possono agire sul patrimonio prima dell'erede stesso.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Come si fa l'accettazione con beneficio d'inventario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Per accedere all'accettazione beneficiata sono necessari alcuni requisiti fondamentali pena la nullità della stessa e il procedimento da seguire è descritto nell'</w:t>
      </w:r>
      <w:r w:rsidRPr="00AC2EDB">
        <w:rPr>
          <w:rFonts w:eastAsia="Times New Roman" w:cs="Times New Roman"/>
          <w:b/>
          <w:bCs/>
          <w:lang w:eastAsia="it-IT"/>
        </w:rPr>
        <w:t>articolo 490</w:t>
      </w:r>
      <w:r w:rsidRPr="00AC2EDB">
        <w:rPr>
          <w:rFonts w:eastAsia="Times New Roman" w:cs="Times New Roman"/>
          <w:lang w:eastAsia="it-IT"/>
        </w:rPr>
        <w:t> del Codice Civile.</w:t>
      </w:r>
      <w:r w:rsidRPr="00AC2EDB">
        <w:rPr>
          <w:rFonts w:eastAsia="Times New Roman" w:cs="Times New Roman"/>
          <w:lang w:eastAsia="it-IT"/>
        </w:rPr>
        <w:br/>
        <w:t>Innanzitutto è necessario che vi sia una dichiarazione che deve essere presentata al notaio o a un cancelliere del Tribunale competente per la zona in cui si è aperta la successione. La dichiarazione va inscritta nel Registro delle Successioni che si trova nello stesso Tribunale, nel caso invece che ci si avvalga di un notaio è il professionista che si incarica di trasmettere gli atti al Tribunale.</w:t>
      </w:r>
      <w:r w:rsidRPr="00AC2EDB">
        <w:rPr>
          <w:rFonts w:eastAsia="Times New Roman" w:cs="Times New Roman"/>
          <w:lang w:eastAsia="it-IT"/>
        </w:rPr>
        <w:br/>
        <w:t>Entro un mese il Cancelliere deve provvedere alla trascrizione della dichiarazione presso l'Ufficio dei Beni Immobili competente e tale trascrizione consente all'erede di pagare i creditori e di soddisfare i legati.</w:t>
      </w:r>
      <w:r w:rsidRPr="00AC2EDB">
        <w:rPr>
          <w:rFonts w:eastAsia="Times New Roman" w:cs="Times New Roman"/>
          <w:lang w:eastAsia="it-IT"/>
        </w:rPr>
        <w:br/>
        <w:t>E' </w:t>
      </w:r>
      <w:r w:rsidRPr="00AC2EDB">
        <w:rPr>
          <w:rFonts w:eastAsia="Times New Roman" w:cs="Times New Roman"/>
          <w:b/>
          <w:bCs/>
          <w:lang w:eastAsia="it-IT"/>
        </w:rPr>
        <w:t>obbligatorio redigere un inventario dei beni facenti parte dell'eredità</w:t>
      </w:r>
      <w:r w:rsidRPr="00AC2EDB">
        <w:rPr>
          <w:rFonts w:eastAsia="Times New Roman" w:cs="Times New Roman"/>
          <w:lang w:eastAsia="it-IT"/>
        </w:rPr>
        <w:t>, ciò può essere fatto prima o dopo l'accettazione.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2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Accettazione con beneficio d'inventario in pratica</w:t>
      </w:r>
    </w:p>
    <w:p w:rsidR="002A2CFF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2A2CFF">
        <w:rPr>
          <w:rFonts w:eastAsia="Times New Roman" w:cs="Times New Roman"/>
          <w:bCs/>
          <w:lang w:eastAsia="it-IT"/>
        </w:rPr>
        <w:t>In pratica dunque si deve</w:t>
      </w:r>
      <w:r w:rsidRPr="00AC2EDB">
        <w:rPr>
          <w:rFonts w:eastAsia="Times New Roman" w:cs="Times New Roman"/>
          <w:lang w:eastAsia="it-IT"/>
        </w:rPr>
        <w:t>:</w:t>
      </w:r>
      <w:r w:rsidRPr="00AC2EDB">
        <w:rPr>
          <w:rFonts w:eastAsia="Times New Roman" w:cs="Times New Roman"/>
          <w:lang w:eastAsia="it-IT"/>
        </w:rPr>
        <w:br/>
        <w:t>- fissare un appuntamento con il notaio o il cancelliere</w:t>
      </w:r>
      <w:r w:rsidRPr="00AC2EDB">
        <w:rPr>
          <w:rFonts w:eastAsia="Times New Roman" w:cs="Times New Roman"/>
          <w:lang w:eastAsia="it-IT"/>
        </w:rPr>
        <w:br/>
        <w:t>- presentare il certificato di morte (ci si può anche avvalere dell'autocertificazione in caso di parentela  diretta o per il coniuge)</w:t>
      </w:r>
      <w:r w:rsidRPr="00AC2EDB">
        <w:rPr>
          <w:rFonts w:eastAsia="Times New Roman" w:cs="Times New Roman"/>
          <w:lang w:eastAsia="it-IT"/>
        </w:rPr>
        <w:br/>
        <w:t>- certificare la residenza del defunto (certificato di residenza storico)</w:t>
      </w:r>
      <w:r w:rsidRPr="00AC2EDB">
        <w:rPr>
          <w:rFonts w:eastAsia="Times New Roman" w:cs="Times New Roman"/>
          <w:lang w:eastAsia="it-IT"/>
        </w:rPr>
        <w:br/>
      </w:r>
      <w:r w:rsidRPr="00AC2EDB">
        <w:rPr>
          <w:rFonts w:eastAsia="Times New Roman" w:cs="Times New Roman"/>
          <w:lang w:eastAsia="it-IT"/>
        </w:rPr>
        <w:lastRenderedPageBreak/>
        <w:t>- presentare </w:t>
      </w:r>
      <w:hyperlink r:id="rId6" w:tooltip="Calcolo del codice fiscale" w:history="1">
        <w:r w:rsidRPr="00AC2EDB">
          <w:rPr>
            <w:rFonts w:eastAsia="Times New Roman" w:cs="Times New Roman"/>
            <w:u w:val="single"/>
            <w:lang w:eastAsia="it-IT"/>
          </w:rPr>
          <w:t>Codice Fiscale</w:t>
        </w:r>
      </w:hyperlink>
      <w:r w:rsidRPr="00AC2EDB">
        <w:rPr>
          <w:rFonts w:eastAsia="Times New Roman" w:cs="Times New Roman"/>
          <w:lang w:eastAsia="it-IT"/>
        </w:rPr>
        <w:t> e carta d'identità sia dell'erede che del defunto</w:t>
      </w:r>
      <w:r w:rsidRPr="00AC2EDB">
        <w:rPr>
          <w:rFonts w:eastAsia="Times New Roman" w:cs="Times New Roman"/>
          <w:lang w:eastAsia="it-IT"/>
        </w:rPr>
        <w:br/>
        <w:t>- possedere l'autorizzazione del giudice tutelare per i minori, gli inabilitati e gli interdetti</w:t>
      </w:r>
    </w:p>
    <w:p w:rsidR="002A2CFF" w:rsidRDefault="002A2CFF" w:rsidP="002A2CFF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2A2CFF">
        <w:rPr>
          <w:rFonts w:eastAsia="Times New Roman" w:cs="Times New Roman"/>
          <w:lang w:eastAsia="it-IT"/>
        </w:rPr>
        <w:t>-</w:t>
      </w:r>
      <w:r>
        <w:rPr>
          <w:rFonts w:eastAsia="Times New Roman" w:cs="Times New Roman"/>
          <w:lang w:eastAsia="it-IT"/>
        </w:rPr>
        <w:t xml:space="preserve"> versare i diritti a</w:t>
      </w:r>
      <w:r w:rsidR="00AC2EDB" w:rsidRPr="002A2CFF">
        <w:rPr>
          <w:rFonts w:eastAsia="Times New Roman" w:cs="Times New Roman"/>
          <w:lang w:eastAsia="it-IT"/>
        </w:rPr>
        <w:t xml:space="preserve"> favore del Tribunale. </w:t>
      </w:r>
    </w:p>
    <w:p w:rsidR="00AC2EDB" w:rsidRPr="002A2CFF" w:rsidRDefault="00AC2EDB" w:rsidP="002A2CFF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2A2CFF">
        <w:rPr>
          <w:rFonts w:eastAsia="Times New Roman" w:cs="Times New Roman"/>
          <w:lang w:eastAsia="it-IT"/>
        </w:rPr>
        <w:t>Qualora ci si rivolga a un notaio sarà lui che si occuperà di tali incombenze.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L'inventario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Prima o dopo aver reso la dichiarazione di accettazione beneficiata l'erede è tenuto alla </w:t>
      </w:r>
      <w:r w:rsidRPr="00AC2EDB">
        <w:rPr>
          <w:rFonts w:eastAsia="Times New Roman" w:cs="Times New Roman"/>
          <w:b/>
          <w:bCs/>
          <w:lang w:eastAsia="it-IT"/>
        </w:rPr>
        <w:t>compilazione dell'inventario</w:t>
      </w:r>
      <w:r w:rsidRPr="00AC2EDB">
        <w:rPr>
          <w:rFonts w:eastAsia="Times New Roman" w:cs="Times New Roman"/>
          <w:lang w:eastAsia="it-IT"/>
        </w:rPr>
        <w:t>. Si tratta di un'operazione contabile che permette di conoscere le attività e le passività che fanno parte del patrimonio ereditato</w:t>
      </w:r>
      <w:r w:rsidR="002A2CFF">
        <w:rPr>
          <w:rFonts w:eastAsia="Times New Roman" w:cs="Times New Roman"/>
          <w:lang w:eastAsia="it-IT"/>
        </w:rPr>
        <w:t>;</w:t>
      </w:r>
      <w:r w:rsidRPr="00AC2EDB">
        <w:rPr>
          <w:rFonts w:eastAsia="Times New Roman" w:cs="Times New Roman"/>
          <w:lang w:eastAsia="it-IT"/>
        </w:rPr>
        <w:t xml:space="preserve"> l'inventario deve essere redatto dal notaio o dal Cancelliere del Tribunale </w:t>
      </w:r>
      <w:r w:rsidRPr="00AC2EDB">
        <w:rPr>
          <w:rFonts w:eastAsia="Times New Roman" w:cs="Times New Roman"/>
          <w:b/>
          <w:bCs/>
          <w:lang w:eastAsia="it-IT"/>
        </w:rPr>
        <w:t>entro tre mesi</w:t>
      </w:r>
      <w:r w:rsidRPr="00AC2EDB">
        <w:rPr>
          <w:rFonts w:eastAsia="Times New Roman" w:cs="Times New Roman"/>
          <w:lang w:eastAsia="it-IT"/>
        </w:rPr>
        <w:t> dalla data in cui </w:t>
      </w:r>
      <w:r w:rsidR="002A2CFF">
        <w:rPr>
          <w:rFonts w:eastAsia="Times New Roman" w:cs="Times New Roman"/>
          <w:lang w:eastAsia="it-IT"/>
        </w:rPr>
        <w:t>si è venuti a conoscenza dell’eredità</w:t>
      </w:r>
      <w:r w:rsidRPr="00AC2EDB">
        <w:rPr>
          <w:rFonts w:eastAsia="Times New Roman" w:cs="Times New Roman"/>
          <w:lang w:eastAsia="it-IT"/>
        </w:rPr>
        <w:t xml:space="preserve"> o da quando è stata aperta la successione.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 xml:space="preserve">Una volta redatto il documento </w:t>
      </w:r>
      <w:r w:rsidR="002A2CFF">
        <w:rPr>
          <w:rFonts w:eastAsia="Times New Roman" w:cs="Times New Roman"/>
          <w:b/>
          <w:bCs/>
          <w:lang w:eastAsia="it-IT"/>
        </w:rPr>
        <w:t>l’erede ha q</w:t>
      </w:r>
      <w:r w:rsidRPr="00AC2EDB">
        <w:rPr>
          <w:rFonts w:eastAsia="Times New Roman" w:cs="Times New Roman"/>
          <w:b/>
          <w:bCs/>
          <w:lang w:eastAsia="it-IT"/>
        </w:rPr>
        <w:t>uaranta giorni di tempo per decidere se accettare o meno</w:t>
      </w:r>
      <w:r w:rsidR="002A2CFF">
        <w:rPr>
          <w:rFonts w:eastAsia="Times New Roman" w:cs="Times New Roman"/>
          <w:b/>
          <w:bCs/>
          <w:lang w:eastAsia="it-IT"/>
        </w:rPr>
        <w:t>;</w:t>
      </w:r>
      <w:r w:rsidRPr="00AC2EDB">
        <w:rPr>
          <w:rFonts w:eastAsia="Times New Roman" w:cs="Times New Roman"/>
          <w:lang w:eastAsia="it-IT"/>
        </w:rPr>
        <w:t xml:space="preserve"> qualora accetti egli diventa in pratica amministratore del patrimonio del defunto e si impegna ad amministrarlo nell'interesse suo e di quello dei creditori e dei legatari.</w:t>
      </w:r>
      <w:r w:rsidRPr="00AC2EDB">
        <w:rPr>
          <w:rFonts w:eastAsia="Times New Roman" w:cs="Times New Roman"/>
          <w:lang w:eastAsia="it-IT"/>
        </w:rPr>
        <w:br/>
        <w:t>Una volta pagati i debiti e aver assolto ai legati l'erede è </w:t>
      </w:r>
      <w:r w:rsidRPr="00AC2EDB">
        <w:rPr>
          <w:rFonts w:eastAsia="Times New Roman" w:cs="Times New Roman"/>
          <w:b/>
          <w:bCs/>
          <w:lang w:eastAsia="it-IT"/>
        </w:rPr>
        <w:t>libero di disporre di quanto rimasto</w:t>
      </w:r>
      <w:r w:rsidRPr="00AC2EDB">
        <w:rPr>
          <w:rFonts w:eastAsia="Times New Roman" w:cs="Times New Roman"/>
          <w:lang w:eastAsia="it-IT"/>
        </w:rPr>
        <w:t xml:space="preserve"> come meglio crede e non viene considerato responsabile </w:t>
      </w:r>
      <w:r w:rsidR="0082500E">
        <w:rPr>
          <w:rFonts w:eastAsia="Times New Roman" w:cs="Times New Roman"/>
          <w:lang w:eastAsia="it-IT"/>
        </w:rPr>
        <w:t>delle</w:t>
      </w:r>
      <w:r w:rsidRPr="00AC2EDB">
        <w:rPr>
          <w:rFonts w:eastAsia="Times New Roman" w:cs="Times New Roman"/>
          <w:lang w:eastAsia="it-IT"/>
        </w:rPr>
        <w:t xml:space="preserve"> eventuali </w:t>
      </w:r>
      <w:r w:rsidR="0082500E">
        <w:rPr>
          <w:rFonts w:eastAsia="Times New Roman" w:cs="Times New Roman"/>
          <w:lang w:eastAsia="it-IT"/>
        </w:rPr>
        <w:t>somme</w:t>
      </w:r>
      <w:r w:rsidRPr="00AC2EDB">
        <w:rPr>
          <w:rFonts w:eastAsia="Times New Roman" w:cs="Times New Roman"/>
          <w:lang w:eastAsia="it-IT"/>
        </w:rPr>
        <w:t xml:space="preserve"> che non siano state versate.</w:t>
      </w:r>
    </w:p>
    <w:p w:rsid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  <w:r w:rsidRPr="00AC2EDB">
        <w:rPr>
          <w:rFonts w:eastAsia="Times New Roman" w:cs="Times New Roman"/>
          <w:lang w:eastAsia="it-IT"/>
        </w:rPr>
        <w:t>Se l'erede </w:t>
      </w:r>
      <w:r w:rsidRPr="00AC2EDB">
        <w:rPr>
          <w:rFonts w:eastAsia="Times New Roman" w:cs="Times New Roman"/>
          <w:b/>
          <w:bCs/>
          <w:lang w:eastAsia="it-IT"/>
        </w:rPr>
        <w:t>non è in possesso dei beni </w:t>
      </w:r>
      <w:r w:rsidRPr="00AC2EDB">
        <w:rPr>
          <w:rFonts w:eastAsia="Times New Roman" w:cs="Times New Roman"/>
          <w:lang w:eastAsia="it-IT"/>
        </w:rPr>
        <w:t>del defunto diventa per lui difficoltoso poter redigere un inventario, quindi la legge prevede che abbia </w:t>
      </w:r>
      <w:r w:rsidRPr="00AC2EDB">
        <w:rPr>
          <w:rFonts w:eastAsia="Times New Roman" w:cs="Times New Roman"/>
          <w:b/>
          <w:bCs/>
          <w:lang w:eastAsia="it-IT"/>
        </w:rPr>
        <w:t>dieci anni di tempo per rendere la dichiarazione di accettazione con il beneficio di inventario</w:t>
      </w:r>
      <w:r w:rsidRPr="00AC2EDB">
        <w:rPr>
          <w:rFonts w:eastAsia="Times New Roman" w:cs="Times New Roman"/>
          <w:lang w:eastAsia="it-IT"/>
        </w:rPr>
        <w:t>. Una volta res</w:t>
      </w:r>
      <w:r w:rsidR="0082500E">
        <w:rPr>
          <w:rFonts w:eastAsia="Times New Roman" w:cs="Times New Roman"/>
          <w:lang w:eastAsia="it-IT"/>
        </w:rPr>
        <w:t>a</w:t>
      </w:r>
      <w:r w:rsidRPr="00AC2EDB">
        <w:rPr>
          <w:rFonts w:eastAsia="Times New Roman" w:cs="Times New Roman"/>
          <w:lang w:eastAsia="it-IT"/>
        </w:rPr>
        <w:t xml:space="preserve"> la dichiarazione </w:t>
      </w:r>
      <w:r w:rsidR="0082500E">
        <w:rPr>
          <w:rFonts w:eastAsia="Times New Roman" w:cs="Times New Roman"/>
          <w:lang w:eastAsia="it-IT"/>
        </w:rPr>
        <w:t xml:space="preserve">l’erede </w:t>
      </w:r>
      <w:r w:rsidRPr="00AC2EDB">
        <w:rPr>
          <w:rFonts w:eastAsia="Times New Roman" w:cs="Times New Roman"/>
          <w:lang w:eastAsia="it-IT"/>
        </w:rPr>
        <w:t>ha </w:t>
      </w:r>
      <w:r w:rsidRPr="00AC2EDB">
        <w:rPr>
          <w:rFonts w:eastAsia="Times New Roman" w:cs="Times New Roman"/>
          <w:b/>
          <w:bCs/>
          <w:lang w:eastAsia="it-IT"/>
        </w:rPr>
        <w:t>tre mesi di tempo per inventariare il patrimonio</w:t>
      </w:r>
      <w:r w:rsidRPr="00AC2EDB">
        <w:rPr>
          <w:rFonts w:eastAsia="Times New Roman" w:cs="Times New Roman"/>
          <w:lang w:eastAsia="it-IT"/>
        </w:rPr>
        <w:t xml:space="preserve">, ma può </w:t>
      </w:r>
      <w:r w:rsidR="0082500E">
        <w:rPr>
          <w:rFonts w:eastAsia="Times New Roman" w:cs="Times New Roman"/>
          <w:lang w:eastAsia="it-IT"/>
        </w:rPr>
        <w:t>comunque</w:t>
      </w:r>
      <w:r w:rsidRPr="00AC2EDB">
        <w:rPr>
          <w:rFonts w:eastAsia="Times New Roman" w:cs="Times New Roman"/>
          <w:lang w:eastAsia="it-IT"/>
        </w:rPr>
        <w:t xml:space="preserve"> richiedere delle proroghe. In ogni caso una volta presentato l'inventario </w:t>
      </w:r>
      <w:r w:rsidR="0082500E">
        <w:rPr>
          <w:rFonts w:eastAsia="Times New Roman" w:cs="Times New Roman"/>
          <w:lang w:eastAsia="it-IT"/>
        </w:rPr>
        <w:t>l’erede ha</w:t>
      </w:r>
      <w:r w:rsidRPr="00AC2EDB">
        <w:rPr>
          <w:rFonts w:eastAsia="Times New Roman" w:cs="Times New Roman"/>
          <w:lang w:eastAsia="it-IT"/>
        </w:rPr>
        <w:t> </w:t>
      </w:r>
      <w:r w:rsidRPr="00AC2EDB">
        <w:rPr>
          <w:rFonts w:eastAsia="Times New Roman" w:cs="Times New Roman"/>
          <w:b/>
          <w:bCs/>
          <w:lang w:eastAsia="it-IT"/>
        </w:rPr>
        <w:t>quaranta giorni di tempo per accettare l'eredità</w:t>
      </w:r>
      <w:r w:rsidR="0082500E">
        <w:rPr>
          <w:rFonts w:eastAsia="Times New Roman" w:cs="Times New Roman"/>
          <w:b/>
          <w:bCs/>
          <w:lang w:eastAsia="it-IT"/>
        </w:rPr>
        <w:t>,</w:t>
      </w:r>
      <w:r w:rsidRPr="00AC2EDB">
        <w:rPr>
          <w:rFonts w:eastAsia="Times New Roman" w:cs="Times New Roman"/>
          <w:lang w:eastAsia="it-IT"/>
        </w:rPr>
        <w:t xml:space="preserve"> </w:t>
      </w:r>
      <w:r w:rsidR="0082500E">
        <w:rPr>
          <w:rFonts w:eastAsia="Times New Roman" w:cs="Times New Roman"/>
          <w:lang w:eastAsia="it-IT"/>
        </w:rPr>
        <w:t>in caso contrario</w:t>
      </w:r>
      <w:r w:rsidRPr="00AC2EDB">
        <w:rPr>
          <w:rFonts w:eastAsia="Times New Roman" w:cs="Times New Roman"/>
          <w:lang w:eastAsia="it-IT"/>
        </w:rPr>
        <w:t xml:space="preserve"> perde ogni diritto sull'eredità stessa.</w:t>
      </w:r>
    </w:p>
    <w:p w:rsidR="00AC2EDB" w:rsidRPr="00AC2EDB" w:rsidRDefault="00AC2EDB" w:rsidP="00AC2EDB">
      <w:pPr>
        <w:shd w:val="clear" w:color="auto" w:fill="FFFFFF" w:themeFill="background1"/>
        <w:spacing w:after="0"/>
        <w:rPr>
          <w:rFonts w:eastAsia="Times New Roman" w:cs="Times New Roman"/>
          <w:lang w:eastAsia="it-IT"/>
        </w:rPr>
      </w:pPr>
    </w:p>
    <w:p w:rsidR="00AC2EDB" w:rsidRPr="00AC2EDB" w:rsidRDefault="00AC2EDB" w:rsidP="00AC2EDB">
      <w:pPr>
        <w:shd w:val="clear" w:color="auto" w:fill="FFFFFF" w:themeFill="background1"/>
        <w:spacing w:after="0"/>
        <w:outlineLvl w:val="1"/>
        <w:rPr>
          <w:rFonts w:eastAsia="Times New Roman" w:cs="Times New Roman"/>
          <w:b/>
          <w:bCs/>
          <w:lang w:eastAsia="it-IT"/>
        </w:rPr>
      </w:pPr>
      <w:r w:rsidRPr="00AC2EDB">
        <w:rPr>
          <w:rFonts w:eastAsia="Times New Roman" w:cs="Times New Roman"/>
          <w:b/>
          <w:bCs/>
          <w:lang w:eastAsia="it-IT"/>
        </w:rPr>
        <w:t>Quando si perde il diritto all'accettazione con beneficio d'inventario</w:t>
      </w:r>
    </w:p>
    <w:p w:rsidR="00923A65" w:rsidRPr="00AC2EDB" w:rsidRDefault="00AC2EDB" w:rsidP="00AC2EDB">
      <w:pPr>
        <w:shd w:val="clear" w:color="auto" w:fill="FFFFFF" w:themeFill="background1"/>
      </w:pPr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>Il diritto di accettare un'eredità con il beneficio di inventario si perde quando si sia provveduto alla </w:t>
      </w:r>
      <w:r w:rsidRPr="0082500E">
        <w:rPr>
          <w:rFonts w:eastAsia="Times New Roman" w:cs="Times New Roman"/>
          <w:b/>
          <w:bCs/>
          <w:shd w:val="clear" w:color="auto" w:fill="FFFFFF" w:themeFill="background1"/>
          <w:lang w:eastAsia="it-IT"/>
        </w:rPr>
        <w:t>vendita di beni facenti parte del patrimonio</w:t>
      </w:r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 xml:space="preserve"> del de </w:t>
      </w:r>
      <w:proofErr w:type="spellStart"/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>cuius</w:t>
      </w:r>
      <w:proofErr w:type="spellEnd"/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 xml:space="preserve"> senza autorizzazione o quando si siano </w:t>
      </w:r>
      <w:r w:rsidRPr="0082500E">
        <w:rPr>
          <w:rFonts w:eastAsia="Times New Roman" w:cs="Times New Roman"/>
          <w:b/>
          <w:bCs/>
          <w:shd w:val="clear" w:color="auto" w:fill="FFFFFF" w:themeFill="background1"/>
          <w:lang w:eastAsia="it-IT"/>
        </w:rPr>
        <w:t>rese dichiarazioni infedeli</w:t>
      </w:r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> per quel che riguarda la redazione dell'inventario o si siano </w:t>
      </w:r>
      <w:r w:rsidRPr="0082500E">
        <w:rPr>
          <w:rFonts w:eastAsia="Times New Roman" w:cs="Times New Roman"/>
          <w:b/>
          <w:bCs/>
          <w:shd w:val="clear" w:color="auto" w:fill="FFFFFF" w:themeFill="background1"/>
          <w:lang w:eastAsia="it-IT"/>
        </w:rPr>
        <w:t>volutamente omesse alcune voci</w:t>
      </w:r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t>.</w:t>
      </w:r>
      <w:r w:rsidRPr="0082500E">
        <w:rPr>
          <w:rFonts w:eastAsia="Times New Roman" w:cs="Times New Roman"/>
          <w:shd w:val="clear" w:color="auto" w:fill="FFFFFF" w:themeFill="background1"/>
          <w:lang w:eastAsia="it-IT"/>
        </w:rPr>
        <w:br/>
        <w:t>L'accettazione è nulla invece quando si omette di seguire in tutto in parte la procedura prevista dalla legge.</w:t>
      </w:r>
    </w:p>
    <w:sectPr w:rsidR="00923A65" w:rsidRPr="00AC2EDB" w:rsidSect="00923A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C7091"/>
    <w:multiLevelType w:val="hybridMultilevel"/>
    <w:tmpl w:val="DF8817A0"/>
    <w:lvl w:ilvl="0" w:tplc="762A886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C2EDB"/>
    <w:rsid w:val="00176B12"/>
    <w:rsid w:val="002A2CFF"/>
    <w:rsid w:val="0082500E"/>
    <w:rsid w:val="00923A65"/>
    <w:rsid w:val="00AC2EDB"/>
    <w:rsid w:val="00C44184"/>
    <w:rsid w:val="00D52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23A65"/>
  </w:style>
  <w:style w:type="paragraph" w:styleId="Titolo1">
    <w:name w:val="heading 1"/>
    <w:basedOn w:val="Normale"/>
    <w:link w:val="Titolo1Carattere"/>
    <w:uiPriority w:val="9"/>
    <w:qFormat/>
    <w:rsid w:val="00AC2ED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AC2ED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AC2ED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2ED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C2ED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C2EDB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C2EDB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AC2ED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C2EDB"/>
    <w:rPr>
      <w:b/>
      <w:bCs/>
    </w:rPr>
  </w:style>
  <w:style w:type="character" w:styleId="Enfasicorsivo">
    <w:name w:val="Emphasis"/>
    <w:basedOn w:val="Carpredefinitoparagrafo"/>
    <w:uiPriority w:val="20"/>
    <w:qFormat/>
    <w:rsid w:val="00AC2EDB"/>
    <w:rPr>
      <w:i/>
      <w:iCs/>
    </w:rPr>
  </w:style>
  <w:style w:type="paragraph" w:styleId="Paragrafoelenco">
    <w:name w:val="List Paragraph"/>
    <w:basedOn w:val="Normale"/>
    <w:uiPriority w:val="34"/>
    <w:qFormat/>
    <w:rsid w:val="002A2C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2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1326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udiocataldi.it/calcolo-codice-fiscale.asp" TargetMode="External"/><Relationship Id="rId5" Type="http://schemas.openxmlformats.org/officeDocument/2006/relationships/hyperlink" Target="https://www.studiocataldi.it/codicecivil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2018-01-12T16:29:00Z</dcterms:created>
  <dcterms:modified xsi:type="dcterms:W3CDTF">2018-06-25T15:34:00Z</dcterms:modified>
</cp:coreProperties>
</file>