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13" w:rsidRPr="00542D13" w:rsidRDefault="00542D13" w:rsidP="00542D13">
      <w:pPr>
        <w:autoSpaceDE w:val="0"/>
        <w:autoSpaceDN w:val="0"/>
        <w:adjustRightInd w:val="0"/>
        <w:rPr>
          <w:rFonts w:cs="PTSans-BoldItalic"/>
          <w:b/>
          <w:bCs/>
          <w:i/>
          <w:iCs/>
          <w:sz w:val="24"/>
          <w:szCs w:val="24"/>
        </w:rPr>
      </w:pPr>
      <w:r w:rsidRPr="00542D13">
        <w:rPr>
          <w:rFonts w:cs="PTSans-BoldItalic"/>
          <w:b/>
          <w:bCs/>
          <w:i/>
          <w:iCs/>
          <w:sz w:val="24"/>
          <w:szCs w:val="24"/>
        </w:rPr>
        <w:t>Il reddito dei professionisti e i cespiti non pagati</w:t>
      </w:r>
    </w:p>
    <w:p w:rsidR="00542D13" w:rsidRPr="00542D13" w:rsidRDefault="00542D13" w:rsidP="00542D13">
      <w:pPr>
        <w:autoSpaceDE w:val="0"/>
        <w:autoSpaceDN w:val="0"/>
        <w:adjustRightInd w:val="0"/>
        <w:rPr>
          <w:rFonts w:cs="PTSans-Regular"/>
        </w:rPr>
      </w:pPr>
      <w:r w:rsidRPr="00542D13">
        <w:rPr>
          <w:rFonts w:cs="PTSans-Regular"/>
        </w:rPr>
        <w:t xml:space="preserve">Come noto, il criterio generale che deve essere seguito per determinare il </w:t>
      </w:r>
      <w:r w:rsidRPr="00542D13">
        <w:rPr>
          <w:rFonts w:cs="PTSans-Bold"/>
          <w:b/>
          <w:bCs/>
        </w:rPr>
        <w:t>reddito da lavoro</w:t>
      </w:r>
      <w:r>
        <w:rPr>
          <w:rFonts w:cs="PTSans-Bold"/>
          <w:b/>
          <w:bCs/>
        </w:rPr>
        <w:t xml:space="preserve"> </w:t>
      </w:r>
      <w:r w:rsidRPr="00542D13">
        <w:rPr>
          <w:rFonts w:cs="PTSans-Bold"/>
          <w:b/>
          <w:bCs/>
        </w:rPr>
        <w:t xml:space="preserve">autonomo </w:t>
      </w:r>
      <w:r w:rsidRPr="00542D13">
        <w:rPr>
          <w:rFonts w:cs="PTSans-Regular"/>
        </w:rPr>
        <w:t xml:space="preserve">è quello di </w:t>
      </w:r>
      <w:r w:rsidRPr="00542D13">
        <w:rPr>
          <w:rFonts w:cs="PTSans-Bold"/>
          <w:b/>
          <w:bCs/>
        </w:rPr>
        <w:t>“cassa”</w:t>
      </w:r>
      <w:r w:rsidRPr="00542D13">
        <w:rPr>
          <w:rFonts w:cs="PTSans-Regular"/>
        </w:rPr>
        <w:t xml:space="preserve">: in base all’art. </w:t>
      </w:r>
      <w:r w:rsidRPr="00542D13">
        <w:rPr>
          <w:rFonts w:cs="PTSans-Bold"/>
          <w:b/>
          <w:bCs/>
        </w:rPr>
        <w:t xml:space="preserve">54 del </w:t>
      </w:r>
      <w:proofErr w:type="spellStart"/>
      <w:r w:rsidRPr="00542D13">
        <w:rPr>
          <w:rFonts w:cs="PTSans-Bold"/>
          <w:b/>
          <w:bCs/>
        </w:rPr>
        <w:t>Tuir</w:t>
      </w:r>
      <w:proofErr w:type="spellEnd"/>
      <w:r w:rsidRPr="00542D13">
        <w:rPr>
          <w:rFonts w:cs="PTSans-Bold"/>
          <w:b/>
          <w:bCs/>
        </w:rPr>
        <w:t xml:space="preserve"> </w:t>
      </w:r>
      <w:r w:rsidRPr="00542D13">
        <w:rPr>
          <w:rFonts w:cs="PTSans-Regular"/>
        </w:rPr>
        <w:t>concorrono alla formazione del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 xml:space="preserve">reddito professionale soltanto le </w:t>
      </w:r>
      <w:r w:rsidRPr="00542D13">
        <w:rPr>
          <w:rFonts w:cs="PTSans-Bold"/>
          <w:b/>
          <w:bCs/>
        </w:rPr>
        <w:t>spese sostenute nel periodo d’imposta</w:t>
      </w:r>
      <w:r w:rsidRPr="00542D13">
        <w:rPr>
          <w:rFonts w:cs="PTSans-Regular"/>
        </w:rPr>
        <w:t>.</w:t>
      </w:r>
    </w:p>
    <w:p w:rsidR="00542D13" w:rsidRPr="00542D13" w:rsidRDefault="00542D13" w:rsidP="00542D13">
      <w:pPr>
        <w:autoSpaceDE w:val="0"/>
        <w:autoSpaceDN w:val="0"/>
        <w:adjustRightInd w:val="0"/>
        <w:rPr>
          <w:rFonts w:cs="PTSans-Regular"/>
        </w:rPr>
      </w:pPr>
      <w:r w:rsidRPr="00542D13">
        <w:rPr>
          <w:rFonts w:cs="PTSans-Regular"/>
        </w:rPr>
        <w:t>Il Legislatore, tuttavia, ha inteso inserire una deroga a tale principio nel caso in cui le spese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 xml:space="preserve">sostenute riguardino </w:t>
      </w:r>
      <w:r w:rsidRPr="00542D13">
        <w:rPr>
          <w:rFonts w:cs="PTSans-Bold"/>
          <w:b/>
          <w:bCs/>
        </w:rPr>
        <w:t>beni strumentali</w:t>
      </w:r>
      <w:r w:rsidRPr="00542D13">
        <w:rPr>
          <w:rFonts w:cs="PTSans-Regular"/>
        </w:rPr>
        <w:t>. Questi, infatti, concorreranno alla formazione del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 xml:space="preserve">reddito annuale in quote costanti calcolate sulla base dei </w:t>
      </w:r>
      <w:r w:rsidRPr="00542D13">
        <w:rPr>
          <w:rFonts w:cs="PTSans-Bold"/>
          <w:b/>
          <w:bCs/>
        </w:rPr>
        <w:t>coefficienti fiscali di ammortamento</w:t>
      </w:r>
      <w:r w:rsidRPr="00542D13">
        <w:rPr>
          <w:rFonts w:cs="PTSans-Regular"/>
        </w:rPr>
        <w:t>.</w:t>
      </w:r>
    </w:p>
    <w:p w:rsidR="00542D13" w:rsidRPr="00542D13" w:rsidRDefault="00542D13" w:rsidP="00542D13">
      <w:pPr>
        <w:autoSpaceDE w:val="0"/>
        <w:autoSpaceDN w:val="0"/>
        <w:adjustRightInd w:val="0"/>
        <w:rPr>
          <w:rFonts w:cs="PTSans-Regular"/>
        </w:rPr>
      </w:pPr>
      <w:r w:rsidRPr="00542D13">
        <w:rPr>
          <w:rFonts w:cs="PTSans-Regular"/>
        </w:rPr>
        <w:t xml:space="preserve">In tal senso, anche nell’ambito del reddito da lavoro autonomo si è inteso applicare il </w:t>
      </w:r>
      <w:r w:rsidRPr="00542D13">
        <w:rPr>
          <w:rFonts w:cs="PTSans-Bold"/>
          <w:b/>
          <w:bCs/>
        </w:rPr>
        <w:t>concetto</w:t>
      </w:r>
      <w:r>
        <w:rPr>
          <w:rFonts w:cs="PTSans-Bold"/>
          <w:b/>
          <w:bCs/>
        </w:rPr>
        <w:t xml:space="preserve"> </w:t>
      </w:r>
      <w:r w:rsidRPr="00542D13">
        <w:rPr>
          <w:rFonts w:cs="PTSans-Bold"/>
          <w:b/>
          <w:bCs/>
        </w:rPr>
        <w:t xml:space="preserve">di competenza </w:t>
      </w:r>
      <w:r w:rsidRPr="00542D13">
        <w:rPr>
          <w:rFonts w:cs="PTSans-Regular"/>
        </w:rPr>
        <w:t xml:space="preserve">per questa tipologia di beni, essendone prevista la deducibilità </w:t>
      </w:r>
      <w:r w:rsidRPr="00542D13">
        <w:rPr>
          <w:rFonts w:cs="PTSans-Bold"/>
          <w:b/>
          <w:bCs/>
        </w:rPr>
        <w:t>soltanto</w:t>
      </w:r>
      <w:r>
        <w:rPr>
          <w:rFonts w:cs="PTSans-Bold"/>
          <w:b/>
          <w:bCs/>
        </w:rPr>
        <w:t xml:space="preserve"> </w:t>
      </w:r>
      <w:r w:rsidRPr="00542D13">
        <w:rPr>
          <w:rFonts w:cs="PTSans-Bold"/>
          <w:b/>
          <w:bCs/>
        </w:rPr>
        <w:t xml:space="preserve">attraverso il calcolo delle quote di ammortamento </w:t>
      </w:r>
      <w:r w:rsidRPr="00542D13">
        <w:rPr>
          <w:rFonts w:cs="PTSans-Regular"/>
        </w:rPr>
        <w:t xml:space="preserve">a </w:t>
      </w:r>
      <w:r w:rsidRPr="00542D13">
        <w:rPr>
          <w:rFonts w:cs="PTSans-Bold"/>
          <w:b/>
          <w:bCs/>
        </w:rPr>
        <w:t>prescindere dalla data di pagamento</w:t>
      </w:r>
      <w:r w:rsidRPr="00542D13">
        <w:rPr>
          <w:rFonts w:cs="PTSans-Regular"/>
        </w:rPr>
        <w:t>.</w:t>
      </w:r>
    </w:p>
    <w:p w:rsidR="00542D13" w:rsidRPr="00542D13" w:rsidRDefault="00542D13" w:rsidP="00542D13">
      <w:pPr>
        <w:autoSpaceDE w:val="0"/>
        <w:autoSpaceDN w:val="0"/>
        <w:adjustRightInd w:val="0"/>
        <w:rPr>
          <w:rFonts w:cs="PTSans-Regular"/>
        </w:rPr>
      </w:pPr>
      <w:r w:rsidRPr="00542D13">
        <w:rPr>
          <w:rFonts w:cs="PTSans-Regular"/>
        </w:rPr>
        <w:t xml:space="preserve">Ovviamente tale deroga riguarda i beni strumentali </w:t>
      </w:r>
      <w:r w:rsidRPr="00542D13">
        <w:rPr>
          <w:rFonts w:cs="PTSans-Bold"/>
          <w:b/>
          <w:bCs/>
        </w:rPr>
        <w:t>superiori ad € 516,46</w:t>
      </w:r>
      <w:r w:rsidRPr="00542D13">
        <w:rPr>
          <w:rFonts w:cs="PTSans-Regular"/>
        </w:rPr>
        <w:t>, considerato che per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 xml:space="preserve">quelli di costo inferiore a tale soglia sussiste la </w:t>
      </w:r>
      <w:r w:rsidRPr="00542D13">
        <w:rPr>
          <w:rFonts w:cs="PTSans-Bold"/>
          <w:b/>
          <w:bCs/>
        </w:rPr>
        <w:t xml:space="preserve">facoltà </w:t>
      </w:r>
      <w:r w:rsidRPr="00542D13">
        <w:rPr>
          <w:rFonts w:cs="PTSans-Regular"/>
        </w:rPr>
        <w:t xml:space="preserve">di ricorrere alla </w:t>
      </w:r>
      <w:r w:rsidRPr="00542D13">
        <w:rPr>
          <w:rFonts w:cs="PTSans-Bold"/>
          <w:b/>
          <w:bCs/>
        </w:rPr>
        <w:t>deduzione integrale del</w:t>
      </w:r>
      <w:r>
        <w:rPr>
          <w:rFonts w:cs="PTSans-Bold"/>
          <w:b/>
          <w:bCs/>
        </w:rPr>
        <w:t xml:space="preserve"> </w:t>
      </w:r>
      <w:r w:rsidRPr="00542D13">
        <w:rPr>
          <w:rFonts w:cs="PTSans-Bold"/>
          <w:b/>
          <w:bCs/>
        </w:rPr>
        <w:t xml:space="preserve">costo </w:t>
      </w:r>
      <w:r w:rsidRPr="00542D13">
        <w:rPr>
          <w:rFonts w:cs="PTSans-Regular"/>
        </w:rPr>
        <w:t xml:space="preserve">nel periodo d’imposta in cui è </w:t>
      </w:r>
      <w:r w:rsidRPr="00542D13">
        <w:rPr>
          <w:rFonts w:cs="PTSans-Bold"/>
          <w:b/>
          <w:bCs/>
        </w:rPr>
        <w:t>stata sostenuta la relativa spesa</w:t>
      </w:r>
      <w:r w:rsidRPr="00542D13">
        <w:rPr>
          <w:rFonts w:cs="PTSans-Regular"/>
        </w:rPr>
        <w:t>.</w:t>
      </w:r>
    </w:p>
    <w:p w:rsidR="00542D13" w:rsidRPr="00542D13" w:rsidRDefault="00542D13" w:rsidP="00542D13">
      <w:pPr>
        <w:autoSpaceDE w:val="0"/>
        <w:autoSpaceDN w:val="0"/>
        <w:adjustRightInd w:val="0"/>
        <w:rPr>
          <w:rFonts w:cs="PTSans-Regular"/>
        </w:rPr>
      </w:pPr>
      <w:r w:rsidRPr="00542D13">
        <w:rPr>
          <w:rFonts w:cs="PTSans-Regular"/>
        </w:rPr>
        <w:t>Tutto ciò è testimoniato dal fatto che il Legislatore fiscale ha volutamente utilizzato il termine</w:t>
      </w:r>
      <w:r>
        <w:rPr>
          <w:rFonts w:cs="PTSans-Regular"/>
        </w:rPr>
        <w:t xml:space="preserve"> </w:t>
      </w:r>
      <w:r w:rsidRPr="00542D13">
        <w:rPr>
          <w:rFonts w:cs="PTSans-Bold"/>
          <w:b/>
          <w:bCs/>
        </w:rPr>
        <w:t xml:space="preserve">spesa </w:t>
      </w:r>
      <w:r w:rsidRPr="00542D13">
        <w:rPr>
          <w:rFonts w:cs="PTSans-Regular"/>
        </w:rPr>
        <w:t xml:space="preserve">per indicare il </w:t>
      </w:r>
      <w:r w:rsidRPr="00542D13">
        <w:rPr>
          <w:rFonts w:cs="PTSans-Bold"/>
          <w:b/>
          <w:bCs/>
        </w:rPr>
        <w:t xml:space="preserve">componente negativo del reddito </w:t>
      </w:r>
      <w:r w:rsidRPr="00542D13">
        <w:rPr>
          <w:rFonts w:cs="PTSans-Regular"/>
        </w:rPr>
        <w:t xml:space="preserve">e il termine </w:t>
      </w:r>
      <w:r w:rsidRPr="00542D13">
        <w:rPr>
          <w:rFonts w:cs="PTSans-Bold"/>
          <w:b/>
          <w:bCs/>
        </w:rPr>
        <w:t xml:space="preserve">costo </w:t>
      </w:r>
      <w:r w:rsidRPr="00542D13">
        <w:rPr>
          <w:rFonts w:cs="PTSans-Regular"/>
        </w:rPr>
        <w:t xml:space="preserve">per il </w:t>
      </w:r>
      <w:r w:rsidRPr="00542D13">
        <w:rPr>
          <w:rFonts w:cs="PTSans-Bold"/>
          <w:b/>
          <w:bCs/>
        </w:rPr>
        <w:t>fattore</w:t>
      </w:r>
      <w:r>
        <w:rPr>
          <w:rFonts w:cs="PTSans-Bold"/>
          <w:b/>
          <w:bCs/>
        </w:rPr>
        <w:t xml:space="preserve"> </w:t>
      </w:r>
      <w:r w:rsidRPr="00542D13">
        <w:rPr>
          <w:rFonts w:cs="PTSans-Bold"/>
          <w:b/>
          <w:bCs/>
        </w:rPr>
        <w:t xml:space="preserve">produttivo a durata pluriennale; </w:t>
      </w:r>
      <w:r w:rsidRPr="00542D13">
        <w:rPr>
          <w:rFonts w:cs="PTSans-Regular"/>
        </w:rPr>
        <w:t>è evidente, quindi, che la partecipazione dei "costi" dei beni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 xml:space="preserve">strumentali </w:t>
      </w:r>
      <w:r w:rsidRPr="00542D13">
        <w:rPr>
          <w:rFonts w:cs="PTSans-Bold"/>
          <w:b/>
          <w:bCs/>
        </w:rPr>
        <w:t xml:space="preserve">deve avvenire per quote </w:t>
      </w:r>
      <w:r w:rsidRPr="00542D13">
        <w:rPr>
          <w:rFonts w:cs="PTSans-Regular"/>
        </w:rPr>
        <w:t xml:space="preserve">a prescindere dall'effettivo pagamento del bene, </w:t>
      </w:r>
      <w:r w:rsidRPr="00542D13">
        <w:rPr>
          <w:rFonts w:cs="PTSans-Bold"/>
          <w:b/>
          <w:bCs/>
        </w:rPr>
        <w:t>ancorché</w:t>
      </w:r>
      <w:r>
        <w:rPr>
          <w:rFonts w:cs="PTSans-Bold"/>
          <w:b/>
          <w:bCs/>
        </w:rPr>
        <w:t xml:space="preserve"> </w:t>
      </w:r>
      <w:r w:rsidRPr="00542D13">
        <w:rPr>
          <w:rFonts w:cs="PTSans-Bold"/>
          <w:b/>
          <w:bCs/>
        </w:rPr>
        <w:t>nel contratto di acquisto sia stato convenuto il pagamento rateale</w:t>
      </w:r>
      <w:r w:rsidRPr="00542D13">
        <w:rPr>
          <w:rFonts w:cs="PTSans-Regular"/>
        </w:rPr>
        <w:t>. Come ha avuto modo di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 xml:space="preserve">precisare </w:t>
      </w:r>
      <w:r w:rsidRPr="00542D13">
        <w:rPr>
          <w:rFonts w:cs="PTSans-Bold"/>
          <w:b/>
          <w:bCs/>
        </w:rPr>
        <w:t>l’Associazione dei dottori commercialisti di Milano nella nota di comportamento n.</w:t>
      </w:r>
      <w:r>
        <w:rPr>
          <w:rFonts w:cs="PTSans-Bold"/>
          <w:b/>
          <w:bCs/>
        </w:rPr>
        <w:t xml:space="preserve"> </w:t>
      </w:r>
      <w:r w:rsidRPr="00542D13">
        <w:rPr>
          <w:rFonts w:cs="PTSans-Bold"/>
          <w:b/>
          <w:bCs/>
        </w:rPr>
        <w:t>146</w:t>
      </w:r>
      <w:r w:rsidRPr="00542D13">
        <w:rPr>
          <w:rFonts w:cs="PTSans-Regular"/>
        </w:rPr>
        <w:t>, il regime dell'ammortamento non potrebbe essere sostituito, poiché resterebbe annullato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 xml:space="preserve">con effetti </w:t>
      </w:r>
      <w:proofErr w:type="spellStart"/>
      <w:r w:rsidRPr="00542D13">
        <w:rPr>
          <w:rFonts w:cs="PTSans-Regular"/>
        </w:rPr>
        <w:t>distorsivi</w:t>
      </w:r>
      <w:proofErr w:type="spellEnd"/>
      <w:r w:rsidRPr="00542D13">
        <w:rPr>
          <w:rFonts w:cs="PTSans-Regular"/>
        </w:rPr>
        <w:t>, dalle rate di un eventuale pagamento dilazionato, il cui singolo valore,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 xml:space="preserve">seppur coerente con il "regime di cassa", </w:t>
      </w:r>
      <w:r w:rsidRPr="00542D13">
        <w:rPr>
          <w:rFonts w:cs="PTSans-Bold"/>
          <w:b/>
          <w:bCs/>
        </w:rPr>
        <w:t>risponde a una logica di mera convenienza</w:t>
      </w:r>
      <w:r>
        <w:rPr>
          <w:rFonts w:cs="PTSans-Bold"/>
          <w:b/>
          <w:bCs/>
        </w:rPr>
        <w:t xml:space="preserve"> </w:t>
      </w:r>
      <w:r w:rsidRPr="00542D13">
        <w:rPr>
          <w:rFonts w:cs="PTSans-Bold"/>
          <w:b/>
          <w:bCs/>
        </w:rPr>
        <w:t>finanziaria</w:t>
      </w:r>
      <w:r w:rsidRPr="00542D13">
        <w:rPr>
          <w:rFonts w:cs="PTSans-Regular"/>
        </w:rPr>
        <w:t xml:space="preserve">, </w:t>
      </w:r>
      <w:r w:rsidRPr="00542D13">
        <w:rPr>
          <w:rFonts w:cs="PTSans-Bold"/>
          <w:b/>
          <w:bCs/>
        </w:rPr>
        <w:t xml:space="preserve">diversa da quella economico-reddituale </w:t>
      </w:r>
      <w:r w:rsidRPr="00542D13">
        <w:rPr>
          <w:rFonts w:cs="PTSans-Regular"/>
        </w:rPr>
        <w:t>tipicamente utilizzata per la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determinazione del reddito imponibile di periodo di qualsiasi categoria di percettore.</w:t>
      </w:r>
    </w:p>
    <w:p w:rsidR="00542D13" w:rsidRPr="00542D13" w:rsidRDefault="00542D13" w:rsidP="00542D13">
      <w:pPr>
        <w:autoSpaceDE w:val="0"/>
        <w:autoSpaceDN w:val="0"/>
        <w:adjustRightInd w:val="0"/>
        <w:rPr>
          <w:rFonts w:cs="PTSans-Regular"/>
        </w:rPr>
      </w:pPr>
      <w:r w:rsidRPr="00542D13">
        <w:rPr>
          <w:rFonts w:cs="PTSans-Regular"/>
        </w:rPr>
        <w:t>Inoltre, il fatto che il Legislatore abbia previsto la facoltà della deduzione integrale della spesa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sostenuta per i beni strumentali di costo unitario inferiore ad € 516,46, conferma che per tutti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gli altri cespiti si rende applicabile il regime ordinario di attribuzione per quote nell’ambito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della determinazione del reddito da lavoro autonomo.</w:t>
      </w:r>
    </w:p>
    <w:p w:rsidR="00542D13" w:rsidRPr="00542D13" w:rsidRDefault="00542D13" w:rsidP="00542D13">
      <w:pPr>
        <w:autoSpaceDE w:val="0"/>
        <w:autoSpaceDN w:val="0"/>
        <w:adjustRightInd w:val="0"/>
        <w:rPr>
          <w:rFonts w:cs="PTSans-Regular"/>
        </w:rPr>
      </w:pPr>
      <w:r w:rsidRPr="00542D13">
        <w:rPr>
          <w:rFonts w:cs="PTSans-Regular"/>
        </w:rPr>
        <w:t>Si pensi al caso di un professionista che acquista un bene strumentale del valore di 10.000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euro nel corso del 2015. Il pagamento è previsto in venti rate mensili a partire dal 1° gennaio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2015. L’aliquota di ammortamento del bene è pari al 12% annuo. Le quote di ammortamento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potranno essere dedotte dal reddito di lavoro autonomo a partire dall’esercizio di acquisto del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bene e a prescindere dal momento in cui esso sarà pagato. Quindi la quota deducibile annuale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sarà pari a 1.200 euro (10.000 x 12%).</w:t>
      </w:r>
    </w:p>
    <w:p w:rsidR="00542D13" w:rsidRPr="00542D13" w:rsidRDefault="00542D13" w:rsidP="00542D13">
      <w:pPr>
        <w:autoSpaceDE w:val="0"/>
        <w:autoSpaceDN w:val="0"/>
        <w:adjustRightInd w:val="0"/>
        <w:rPr>
          <w:rFonts w:cs="PTSans-Regular"/>
        </w:rPr>
      </w:pPr>
      <w:r w:rsidRPr="00542D13">
        <w:rPr>
          <w:rFonts w:cs="PTSans-Regular"/>
        </w:rPr>
        <w:t>Al contrario, se si applicasse il principio di cassa all’esempio sopra riportato, il professionista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dovrebbe applicare il coefficiente di ammortamento del 12% rapportato alle rate mensili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effettivamente pagate. Così, nell’anno 2015 l’ammortamento dovrebbe essere pari a 720 euro,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ovvero il 12% calcolato su 6.000 euro (rate pagate dal 1/1 al 31/12). Soltanto a decorrere dal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2016 l’ammortamento tornerà ad essere pari a 1.200 euro, essendo state saldate tutte le rate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previste.</w:t>
      </w:r>
    </w:p>
    <w:p w:rsidR="00923A65" w:rsidRPr="00542D13" w:rsidRDefault="00542D13" w:rsidP="00542D13">
      <w:pPr>
        <w:autoSpaceDE w:val="0"/>
        <w:autoSpaceDN w:val="0"/>
        <w:adjustRightInd w:val="0"/>
      </w:pPr>
      <w:r w:rsidRPr="00542D13">
        <w:rPr>
          <w:rFonts w:cs="PTSans-Regular"/>
        </w:rPr>
        <w:t xml:space="preserve">È evidente che accettando tale impostazione si verrebbero a </w:t>
      </w:r>
      <w:r w:rsidRPr="00542D13">
        <w:rPr>
          <w:rFonts w:cs="PTSans-Bold"/>
          <w:b/>
          <w:bCs/>
        </w:rPr>
        <w:t>creare delle alterazioni</w:t>
      </w:r>
      <w:r>
        <w:rPr>
          <w:rFonts w:cs="PTSans-Bold"/>
          <w:b/>
          <w:bCs/>
        </w:rPr>
        <w:t xml:space="preserve"> </w:t>
      </w:r>
      <w:r w:rsidRPr="00542D13">
        <w:rPr>
          <w:rFonts w:cs="PTSans-Bold"/>
          <w:b/>
          <w:bCs/>
        </w:rPr>
        <w:t>nell’ambito del processo di ammortamento</w:t>
      </w:r>
      <w:r w:rsidRPr="00542D13">
        <w:rPr>
          <w:rFonts w:cs="PTSans-Regular"/>
        </w:rPr>
        <w:t xml:space="preserve">, sia nel caso di </w:t>
      </w:r>
      <w:r w:rsidRPr="00542D13">
        <w:rPr>
          <w:rFonts w:cs="PTSans-Bold"/>
          <w:b/>
          <w:bCs/>
        </w:rPr>
        <w:t>perdite durevoli di valore dei beni</w:t>
      </w:r>
      <w:r>
        <w:rPr>
          <w:rFonts w:cs="PTSans-Bold"/>
          <w:b/>
          <w:bCs/>
        </w:rPr>
        <w:t xml:space="preserve"> </w:t>
      </w:r>
      <w:r w:rsidRPr="00542D13">
        <w:rPr>
          <w:rFonts w:cs="PTSans-Bold"/>
          <w:b/>
          <w:bCs/>
        </w:rPr>
        <w:t xml:space="preserve">strumentali </w:t>
      </w:r>
      <w:r w:rsidRPr="00542D13">
        <w:rPr>
          <w:rFonts w:cs="PTSans-Regular"/>
        </w:rPr>
        <w:t>o di vendita degli stessi, essendo l’ammortamento calcolato sulla spesa sostenuta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>anziché sul costo storico del bene, sia nella decorrenza dello stesso il quale, di norma, inizia</w:t>
      </w:r>
      <w:r>
        <w:rPr>
          <w:rFonts w:cs="PTSans-Regular"/>
        </w:rPr>
        <w:t xml:space="preserve"> </w:t>
      </w:r>
      <w:r w:rsidRPr="00542D13">
        <w:rPr>
          <w:rFonts w:cs="PTSans-Regular"/>
        </w:rPr>
        <w:t xml:space="preserve">dal </w:t>
      </w:r>
      <w:r w:rsidRPr="00542D13">
        <w:rPr>
          <w:rFonts w:cs="PTSans-Bold"/>
          <w:b/>
          <w:bCs/>
        </w:rPr>
        <w:t xml:space="preserve">momento di entrata in funzione del bene </w:t>
      </w:r>
      <w:r w:rsidRPr="00542D13">
        <w:rPr>
          <w:rFonts w:cs="PTSans-Regular"/>
        </w:rPr>
        <w:t xml:space="preserve">mentre, così facendo, </w:t>
      </w:r>
      <w:r w:rsidRPr="00542D13">
        <w:rPr>
          <w:rFonts w:cs="PTSans-Bold"/>
          <w:b/>
          <w:bCs/>
        </w:rPr>
        <w:t>decorrerebbe dal momento</w:t>
      </w:r>
      <w:r>
        <w:rPr>
          <w:rFonts w:cs="PTSans-Bold"/>
          <w:b/>
          <w:bCs/>
        </w:rPr>
        <w:t xml:space="preserve"> </w:t>
      </w:r>
      <w:r w:rsidRPr="00542D13">
        <w:rPr>
          <w:rFonts w:cs="PTSans-Bold"/>
          <w:b/>
          <w:bCs/>
        </w:rPr>
        <w:t>di effettivo pagamento del bene</w:t>
      </w:r>
      <w:r w:rsidRPr="00542D13">
        <w:rPr>
          <w:rFonts w:cs="PTSans-Regular"/>
        </w:rPr>
        <w:t>.</w:t>
      </w:r>
    </w:p>
    <w:sectPr w:rsidR="00923A65" w:rsidRPr="00542D13" w:rsidSect="0092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2D13"/>
    <w:rsid w:val="00123207"/>
    <w:rsid w:val="00176B12"/>
    <w:rsid w:val="00542D13"/>
    <w:rsid w:val="0092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Pag</cp:lastModifiedBy>
  <cp:revision>1</cp:revision>
  <dcterms:created xsi:type="dcterms:W3CDTF">2017-02-15T16:57:00Z</dcterms:created>
  <dcterms:modified xsi:type="dcterms:W3CDTF">2017-02-15T17:01:00Z</dcterms:modified>
</cp:coreProperties>
</file>